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ORGANIZATION FOR EMPOWERMENT OF VULNERABLE COMMUNITIES (OEVC)</w:t>
      </w:r>
    </w:p>
    <w:p>
      <w:pPr>
        <w:jc w:val="center"/>
      </w:pPr>
      <w:r>
        <w:rPr>
          <w:b/>
          <w:sz w:val="56"/>
        </w:rPr>
        <w:t>OEVC STRATEGIC PLAN</w:t>
        <w:br/>
        <w:t>2026–2030</w:t>
      </w:r>
    </w:p>
    <w:p>
      <w:pPr>
        <w:jc w:val="center"/>
      </w:pPr>
      <w:r>
        <w:rPr>
          <w:i/>
        </w:rPr>
        <w:t>Empowering People • Strengthening Communities • Building Resilience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64453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evc_compas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6445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rPr>
          <w:b/>
          <w:sz w:val="32"/>
        </w:rPr>
        <w:t>FOREWORD FROM THE FOUNDER &amp; CEO</w:t>
      </w:r>
    </w:p>
    <w:p>
      <w:r>
        <w:rPr>
          <w:sz w:val="21"/>
        </w:rPr>
        <w:t>OEVC was established with a simple commitment: vulnerable people and communities should not be left without</w:t>
      </w:r>
    </w:p>
    <w:p>
      <w:r>
        <w:rPr>
          <w:sz w:val="21"/>
        </w:rPr>
        <w:t>opportunity, dignity or support. This Strategic Plan 2026–2030 sets out how OEVC will translate that commitment into a</w:t>
      </w:r>
    </w:p>
    <w:p>
      <w:r>
        <w:rPr>
          <w:sz w:val="21"/>
        </w:rPr>
        <w:t>focused programme of community empowerment, disability inclusion, essential services, resilient livelihoods and locally</w:t>
      </w:r>
    </w:p>
    <w:p>
      <w:r>
        <w:rPr>
          <w:sz w:val="21"/>
        </w:rPr>
        <w:t>led development.</w:t>
      </w:r>
    </w:p>
    <w:p>
      <w:r>
        <w:rPr>
          <w:sz w:val="21"/>
        </w:rPr>
        <w:t>The strategy is deliberately designed for a changing Afghanistan. It combines practical service delivery with community</w:t>
      </w:r>
    </w:p>
    <w:p>
      <w:r>
        <w:rPr>
          <w:sz w:val="21"/>
        </w:rPr>
        <w:t>ownership, partnership, learning and evidence. It recognizes that sustainable change requires both responses to urgent</w:t>
      </w:r>
    </w:p>
    <w:p>
      <w:r>
        <w:rPr>
          <w:sz w:val="21"/>
        </w:rPr>
        <w:t>needs and investment in the capacities that enable families and communities to withstand future shocks.</w:t>
      </w:r>
    </w:p>
    <w:p>
      <w:r>
        <w:rPr>
          <w:sz w:val="21"/>
        </w:rPr>
        <w:t>OEVC will work with communities, organizations of persons with disabilities, local actors, national and international</w:t>
      </w:r>
    </w:p>
    <w:p>
      <w:r>
        <w:rPr>
          <w:sz w:val="21"/>
        </w:rPr>
        <w:t>partners, donors and other stakeholders. We will remain accountable to the people we serve and committed to</w:t>
      </w:r>
    </w:p>
    <w:p>
      <w:r>
        <w:rPr>
          <w:sz w:val="21"/>
        </w:rPr>
        <w:t>transparency, safeguarding, non-discrimination and responsible use of resources.</w:t>
      </w:r>
    </w:p>
    <w:p>
      <w:r>
        <w:rPr>
          <w:sz w:val="21"/>
        </w:rPr>
        <w:t>This strategy is a roadmap, not a rigid blueprint. OEVC will continuously analyse context, listen to communities, learn</w:t>
      </w:r>
    </w:p>
    <w:p>
      <w:r>
        <w:rPr>
          <w:sz w:val="21"/>
        </w:rPr>
        <w:t>from implementation and adapt priorities so that available resources are used where they can create the greatest</w:t>
      </w:r>
    </w:p>
    <w:p>
      <w:r>
        <w:rPr>
          <w:sz w:val="21"/>
        </w:rPr>
        <w:t>sustainable value.</w:t>
      </w:r>
    </w:p>
    <w:p>
      <w:r>
        <w:br w:type="page"/>
      </w:r>
    </w:p>
    <w:p>
      <w:r>
        <w:rPr>
          <w:b/>
          <w:sz w:val="32"/>
        </w:rPr>
        <w:t>BACKGROUND</w:t>
      </w:r>
    </w:p>
    <w:p>
      <w:r>
        <w:rPr>
          <w:sz w:val="21"/>
        </w:rPr>
        <w:t>Afghanistan remains a complex environment in which humanitarian needs, poverty, displacement, limited employment,</w:t>
      </w:r>
    </w:p>
    <w:p>
      <w:r>
        <w:rPr>
          <w:sz w:val="21"/>
        </w:rPr>
        <w:t>climate shocks and barriers to basic services overlap. Vulnerable households are often exposed to several risks at the</w:t>
      </w:r>
    </w:p>
    <w:p>
      <w:r>
        <w:rPr>
          <w:sz w:val="21"/>
        </w:rPr>
        <w:t>same time.</w:t>
      </w:r>
    </w:p>
    <w:p>
      <w:r>
        <w:rPr>
          <w:sz w:val="21"/>
        </w:rPr>
        <w:t>The reference strategy shared with OEVC places strong emphasis on locally rooted approaches, community-based</w:t>
      </w:r>
    </w:p>
    <w:p>
      <w:r>
        <w:rPr>
          <w:sz w:val="21"/>
        </w:rPr>
        <w:t>structures, resilience, livelihoods, food security, climate adaptation and quality basic services. OEVC adopts this strategic</w:t>
      </w:r>
    </w:p>
    <w:p>
      <w:r>
        <w:rPr>
          <w:sz w:val="21"/>
        </w:rPr>
        <w:t>logic while tailoring it to its own mandate and role as an Afghan national organization.</w:t>
      </w:r>
    </w:p>
    <w:p>
      <w:r>
        <w:rPr>
          <w:sz w:val="21"/>
        </w:rPr>
        <w:t>OEVC's strategic period therefore focuses on strengthening the ability of individuals, families and communities to access</w:t>
      </w:r>
    </w:p>
    <w:p>
      <w:r>
        <w:rPr>
          <w:sz w:val="21"/>
        </w:rPr>
        <w:t>services, build livelihoods, participate in decisions that affect them and respond to shocks. Particular attention is given to</w:t>
      </w:r>
    </w:p>
    <w:p>
      <w:r>
        <w:rPr>
          <w:sz w:val="21"/>
        </w:rPr>
        <w:t>persons with disabilities, women and girls, children and youth, returnees, displaced and other vulnerable households.</w:t>
      </w:r>
    </w:p>
    <w:p>
      <w:r>
        <w:br w:type="page"/>
      </w:r>
    </w:p>
    <w:p>
      <w:r>
        <w:rPr>
          <w:b/>
          <w:sz w:val="32"/>
        </w:rPr>
        <w:t>OUR VISION, MISSION, TARGET GROUPS AND CORE VALUES</w:t>
      </w:r>
    </w:p>
    <w:p>
      <w:r>
        <w:rPr>
          <w:sz w:val="21"/>
        </w:rPr>
        <w:t>VISION</w:t>
      </w:r>
    </w:p>
    <w:p>
      <w:r>
        <w:rPr>
          <w:sz w:val="21"/>
        </w:rPr>
        <w:t>An Afghanistan where vulnerable people live with dignity, equal opportunity, resilience and meaningful participation.</w:t>
      </w:r>
    </w:p>
    <w:p>
      <w:r>
        <w:rPr>
          <w:sz w:val="21"/>
        </w:rPr>
        <w:t>MISSION</w:t>
      </w:r>
    </w:p>
    <w:p>
      <w:r>
        <w:rPr>
          <w:sz w:val="21"/>
        </w:rPr>
        <w:t>To empower vulnerable communities through inclusive humanitarian assistance, sustainable development, disability</w:t>
      </w:r>
    </w:p>
    <w:p>
      <w:r>
        <w:rPr>
          <w:sz w:val="21"/>
        </w:rPr>
        <w:t>inclusion, essential services, livelihoods, partnerships and locally led solutions.</w:t>
      </w:r>
    </w:p>
    <w:p>
      <w:r>
        <w:rPr>
          <w:sz w:val="21"/>
        </w:rPr>
        <w:t>TARGET GROUPS</w:t>
      </w:r>
    </w:p>
    <w:p>
      <w:r>
        <w:rPr>
          <w:sz w:val="21"/>
        </w:rPr>
        <w:t>People living in poverty and with vulnerabilities, with particular attention to persons with disabilities, women and girls,</w:t>
      </w:r>
    </w:p>
    <w:p>
      <w:r>
        <w:rPr>
          <w:sz w:val="21"/>
        </w:rPr>
        <w:t>children and youth, returnees, displaced households and underserved rural communities.</w:t>
      </w:r>
    </w:p>
    <w:p>
      <w:r>
        <w:rPr>
          <w:sz w:val="21"/>
        </w:rPr>
        <w:t>CORE VALUES</w:t>
      </w:r>
    </w:p>
    <w:p>
      <w:r>
        <w:rPr>
          <w:sz w:val="21"/>
        </w:rPr>
        <w:t>Participation • Equality • Non-discrimination • Accountability • Transparency • Integrity • Local ownership • Partnership •</w:t>
      </w:r>
    </w:p>
    <w:p>
      <w:r>
        <w:rPr>
          <w:sz w:val="21"/>
        </w:rPr>
        <w:t>Inclusion • Sustainability</w:t>
      </w:r>
    </w:p>
    <w:p>
      <w:r>
        <w:rPr>
          <w:sz w:val="21"/>
        </w:rPr>
        <w:t>OEVC will apply these values not only to programmes but also to internal management, partnerships, fundraising,</w:t>
      </w:r>
    </w:p>
    <w:p>
      <w:r>
        <w:rPr>
          <w:sz w:val="21"/>
        </w:rPr>
        <w:t>communications and decision-making.</w:t>
      </w:r>
    </w:p>
    <w:p>
      <w:r>
        <w:br w:type="page"/>
      </w:r>
    </w:p>
    <w:p>
      <w:r>
        <w:rPr>
          <w:b/>
          <w:sz w:val="32"/>
        </w:rPr>
        <w:t>OUR ANALYSIS OF THE OPERATING CONTEXT</w:t>
      </w:r>
    </w:p>
    <w:p>
      <w:r>
        <w:rPr>
          <w:sz w:val="21"/>
        </w:rPr>
        <w:t>OEVC sees four interconnected realities shaping its work:</w:t>
      </w:r>
    </w:p>
    <w:p>
      <w:r>
        <w:rPr>
          <w:sz w:val="21"/>
        </w:rPr>
        <w:t>1. Persistent vulnerability. Poverty, unemployment and limited access to services continue to affect household resilience.</w:t>
      </w:r>
    </w:p>
    <w:p>
      <w:r>
        <w:rPr>
          <w:sz w:val="21"/>
        </w:rPr>
        <w:t>2. Unequal access. Persons with disabilities and other marginalized groups can face physical, social, economic and</w:t>
      </w:r>
    </w:p>
    <w:p>
      <w:r>
        <w:rPr>
          <w:sz w:val="21"/>
        </w:rPr>
        <w:t>institutional barriers.</w:t>
      </w:r>
    </w:p>
    <w:p>
      <w:r>
        <w:rPr>
          <w:sz w:val="21"/>
        </w:rPr>
        <w:t>3. Climate and livelihood pressure. Drought, floods, water stress, agricultural losses and weak market access can deepen</w:t>
      </w:r>
    </w:p>
    <w:p>
      <w:r>
        <w:rPr>
          <w:sz w:val="21"/>
        </w:rPr>
        <w:t>food insecurity and poverty.</w:t>
      </w:r>
    </w:p>
    <w:p>
      <w:r>
        <w:rPr>
          <w:sz w:val="21"/>
        </w:rPr>
        <w:t>4. A changing aid environment. Reduced and shifting international financing increases the importance of local leadership,</w:t>
      </w:r>
    </w:p>
    <w:p>
      <w:r>
        <w:rPr>
          <w:sz w:val="21"/>
        </w:rPr>
        <w:t>efficient partnerships, evidence and diversified resource mobilization.</w:t>
      </w:r>
    </w:p>
    <w:p>
      <w:r>
        <w:rPr>
          <w:sz w:val="21"/>
        </w:rPr>
        <w:t>OEVC will use annual context analysis to refine geographic and thematic priorities. The organization will remain agile and</w:t>
      </w:r>
    </w:p>
    <w:p>
      <w:r>
        <w:rPr>
          <w:sz w:val="21"/>
        </w:rPr>
        <w:t>avoid treating the 2026–2030 plan as a fixed list of activities.</w:t>
      </w:r>
    </w:p>
    <w:p>
      <w:r>
        <w:br w:type="page"/>
      </w:r>
    </w:p>
    <w:p>
      <w:r>
        <w:rPr>
          <w:b/>
          <w:sz w:val="32"/>
        </w:rPr>
        <w:t>HOW WE BELIEVE SUSTAINABLE SOCIAL CHANGE CAN HAPPEN</w:t>
      </w:r>
    </w:p>
    <w:p>
      <w:r>
        <w:rPr>
          <w:sz w:val="21"/>
        </w:rPr>
        <w:t>Change is possible when people have the knowledge, opportunities, services and support needed to improve their lives</w:t>
      </w:r>
    </w:p>
    <w:p>
      <w:r>
        <w:rPr>
          <w:sz w:val="21"/>
        </w:rPr>
        <w:t>and when communities have the capacity to organize, participate and respond to challenges.</w:t>
      </w:r>
    </w:p>
    <w:p>
      <w:r>
        <w:rPr>
          <w:sz w:val="21"/>
        </w:rPr>
        <w:t>Change is strengthened when local organizations and community structures are trusted, capable and connected to wider</w:t>
      </w:r>
    </w:p>
    <w:p>
      <w:r>
        <w:rPr>
          <w:sz w:val="21"/>
        </w:rPr>
        <w:t>systems of support. Accountability also matters: institutions, partners and service providers need to understand</w:t>
      </w:r>
    </w:p>
    <w:p>
      <w:r>
        <w:rPr>
          <w:sz w:val="21"/>
        </w:rPr>
        <w:t>responsibilities and respond to legitimate needs.</w:t>
      </w:r>
    </w:p>
    <w:p>
      <w:r>
        <w:rPr>
          <w:sz w:val="21"/>
        </w:rPr>
        <w:t>OEVC believes that durable progress is more likely when solutions are locally rooted, culturally informed, inclusive and</w:t>
      </w:r>
    </w:p>
    <w:p>
      <w:r>
        <w:rPr>
          <w:sz w:val="21"/>
        </w:rPr>
        <w:t>developed with the people affected. Direct assistance can meet urgent needs, but empowerment, skills, social networks,</w:t>
      </w:r>
    </w:p>
    <w:p>
      <w:r>
        <w:rPr>
          <w:sz w:val="21"/>
        </w:rPr>
        <w:t>resilient livelihoods and community systems are essential to reduce long-term vulnerability.</w:t>
      </w:r>
    </w:p>
    <w:p>
      <w:r>
        <w:br w:type="page"/>
      </w:r>
    </w:p>
    <w:p>
      <w:r>
        <w:rPr>
          <w:b/>
          <w:sz w:val="32"/>
        </w:rPr>
        <w:t>OEVC'S CONTRIBUTION TO CHANGE</w:t>
      </w:r>
    </w:p>
    <w:p>
      <w:r>
        <w:rPr>
          <w:sz w:val="21"/>
        </w:rPr>
        <w:t>OEVC will contribute through three mutually reinforcing strategic means:</w:t>
      </w:r>
    </w:p>
    <w:p>
      <w:r>
        <w:rPr>
          <w:sz w:val="21"/>
        </w:rPr>
        <w:t>1. PARTNERSHIPS FOR COMMUNITY CHANGE</w:t>
      </w:r>
    </w:p>
    <w:p>
      <w:r>
        <w:rPr>
          <w:sz w:val="21"/>
        </w:rPr>
        <w:t>OEVC will work with communities and local structures to deliver practical programmes, strengthen capacity and support</w:t>
      </w:r>
    </w:p>
    <w:p>
      <w:r>
        <w:rPr>
          <w:sz w:val="21"/>
        </w:rPr>
        <w:t>locally owned solutions.</w:t>
      </w:r>
    </w:p>
    <w:p>
      <w:r>
        <w:rPr>
          <w:sz w:val="21"/>
        </w:rPr>
        <w:t>2. EVIDENCE, LEARNING AND INFLUENCE</w:t>
      </w:r>
    </w:p>
    <w:p>
      <w:r>
        <w:rPr>
          <w:sz w:val="21"/>
        </w:rPr>
        <w:t>OEVC will document experience, generate evidence, communicate community perspectives and use learning to improve</w:t>
      </w:r>
    </w:p>
    <w:p>
      <w:r>
        <w:rPr>
          <w:sz w:val="21"/>
        </w:rPr>
        <w:t>programmes and contribute to constructive dialogue.</w:t>
      </w:r>
    </w:p>
    <w:p>
      <w:r>
        <w:rPr>
          <w:sz w:val="21"/>
        </w:rPr>
        <w:t>3. PUBLIC COMMITMENT AND RESOURCE MOBILIZATION</w:t>
      </w:r>
    </w:p>
    <w:p>
      <w:r>
        <w:rPr>
          <w:sz w:val="21"/>
        </w:rPr>
        <w:t>OEVC will communicate responsibly about community needs and results, strengthen donor and partner engagement, and</w:t>
      </w:r>
    </w:p>
    <w:p>
      <w:r>
        <w:rPr>
          <w:sz w:val="21"/>
        </w:rPr>
        <w:t>mobilize resources for sustainable action.</w:t>
      </w:r>
    </w:p>
    <w:p>
      <w:r>
        <w:rPr>
          <w:sz w:val="21"/>
        </w:rPr>
        <w:t>Together, these approaches connect concrete improvements in people's lives with stronger local systems, learning and</w:t>
      </w:r>
    </w:p>
    <w:p>
      <w:r>
        <w:rPr>
          <w:sz w:val="21"/>
        </w:rPr>
        <w:t>longer-term support.</w:t>
      </w:r>
    </w:p>
    <w:p>
      <w:r>
        <w:br w:type="page"/>
      </w:r>
    </w:p>
    <w:p>
      <w:r>
        <w:rPr>
          <w:b/>
          <w:sz w:val="32"/>
        </w:rPr>
        <w:t>OEVC'S ADDED VALUE</w:t>
      </w:r>
    </w:p>
    <w:p>
      <w:r>
        <w:rPr>
          <w:sz w:val="21"/>
        </w:rPr>
        <w:t>OEVC's added value is its local identity and proximity to communities. As an Afghan organization, OEVC can build</w:t>
      </w:r>
    </w:p>
    <w:p>
      <w:r>
        <w:rPr>
          <w:sz w:val="21"/>
        </w:rPr>
        <w:t>relationships with community actors, understand local realities and adapt implementation to context.</w:t>
      </w:r>
    </w:p>
    <w:p>
      <w:r>
        <w:rPr>
          <w:sz w:val="21"/>
        </w:rPr>
        <w:t>OEVC's approach combines:</w:t>
      </w:r>
    </w:p>
    <w:p>
      <w:pPr>
        <w:pStyle w:val="ListBullet"/>
      </w:pPr>
      <w:r>
        <w:rPr>
          <w:sz w:val="21"/>
        </w:rPr>
        <w:t>Community ownership and participation.</w:t>
      </w:r>
    </w:p>
    <w:p>
      <w:pPr>
        <w:pStyle w:val="ListBullet"/>
      </w:pPr>
      <w:r>
        <w:rPr>
          <w:sz w:val="21"/>
        </w:rPr>
        <w:t>Disability-inclusive programming.</w:t>
      </w:r>
    </w:p>
    <w:p>
      <w:pPr>
        <w:pStyle w:val="ListBullet"/>
      </w:pPr>
      <w:r>
        <w:rPr>
          <w:sz w:val="21"/>
        </w:rPr>
        <w:t>Practical links between humanitarian assistance and longer-term resilience.</w:t>
      </w:r>
    </w:p>
    <w:p>
      <w:pPr>
        <w:pStyle w:val="ListBullet"/>
      </w:pPr>
      <w:r>
        <w:rPr>
          <w:sz w:val="21"/>
        </w:rPr>
        <w:t>Experience in disability, social services and community programming.</w:t>
      </w:r>
    </w:p>
    <w:p>
      <w:pPr>
        <w:pStyle w:val="ListBullet"/>
      </w:pPr>
      <w:r>
        <w:rPr>
          <w:sz w:val="21"/>
        </w:rPr>
        <w:t>A commitment to evidence, accountability and learning.</w:t>
      </w:r>
    </w:p>
    <w:p>
      <w:pPr>
        <w:pStyle w:val="ListBullet"/>
      </w:pPr>
      <w:r>
        <w:rPr>
          <w:sz w:val="21"/>
        </w:rPr>
        <w:t>Partnership-oriented implementation rather than isolated delivery.</w:t>
      </w:r>
    </w:p>
    <w:p>
      <w:r>
        <w:rPr>
          <w:sz w:val="21"/>
        </w:rPr>
        <w:t>OEVC will strengthen this added value through professional systems, staff development, safeguarding, financial controls,</w:t>
      </w:r>
    </w:p>
    <w:p>
      <w:r>
        <w:rPr>
          <w:sz w:val="21"/>
        </w:rPr>
        <w:t>MEAL, research and transparent communication.</w:t>
      </w:r>
    </w:p>
    <w:p>
      <w:r>
        <w:br w:type="page"/>
      </w:r>
    </w:p>
    <w:p>
      <w:r>
        <w:rPr>
          <w:b/>
          <w:sz w:val="32"/>
        </w:rPr>
        <w:t>ALIGNMENT WITH INTERNATIONAL FRAMEWORKS</w:t>
      </w:r>
    </w:p>
    <w:p>
      <w:r>
        <w:rPr>
          <w:sz w:val="21"/>
        </w:rPr>
        <w:t>OEVC will align relevant programmes with the Sustainable Development Goals, humanitarian principles, disability</w:t>
      </w:r>
    </w:p>
    <w:p>
      <w:r>
        <w:rPr>
          <w:sz w:val="21"/>
        </w:rPr>
        <w:t>inclusion standards, safeguarding expectations and applicable donor requirements.</w:t>
      </w:r>
    </w:p>
    <w:p>
      <w:r>
        <w:rPr>
          <w:sz w:val="21"/>
        </w:rPr>
        <w:t>Priority SDG linkages include:</w:t>
      </w:r>
    </w:p>
    <w:p>
      <w:r>
        <w:rPr>
          <w:sz w:val="21"/>
        </w:rPr>
        <w:t>SDG 1 — No Poverty</w:t>
      </w:r>
    </w:p>
    <w:p>
      <w:r>
        <w:rPr>
          <w:sz w:val="21"/>
        </w:rPr>
        <w:t>SDG 2 — Zero Hunger</w:t>
      </w:r>
    </w:p>
    <w:p>
      <w:r>
        <w:rPr>
          <w:sz w:val="21"/>
        </w:rPr>
        <w:t>SDG 3 — Good Health and Well-being</w:t>
      </w:r>
    </w:p>
    <w:p>
      <w:r>
        <w:rPr>
          <w:sz w:val="21"/>
        </w:rPr>
        <w:t>SDG 4 — Quality Education</w:t>
      </w:r>
    </w:p>
    <w:p>
      <w:r>
        <w:rPr>
          <w:sz w:val="21"/>
        </w:rPr>
        <w:t>SDG 5 — Gender Equality</w:t>
      </w:r>
    </w:p>
    <w:p>
      <w:r>
        <w:rPr>
          <w:sz w:val="21"/>
        </w:rPr>
        <w:t>SDG 8 — Decent Work and Economic Growth</w:t>
      </w:r>
    </w:p>
    <w:p>
      <w:r>
        <w:rPr>
          <w:sz w:val="21"/>
        </w:rPr>
        <w:t>SDG 10 — Reduced Inequalities</w:t>
      </w:r>
    </w:p>
    <w:p>
      <w:r>
        <w:rPr>
          <w:sz w:val="21"/>
        </w:rPr>
        <w:t>SDG 13 — Climate Action</w:t>
      </w:r>
    </w:p>
    <w:p>
      <w:r>
        <w:rPr>
          <w:sz w:val="21"/>
        </w:rPr>
        <w:t>SDG 16 — Peace, Justice and Strong Institutions</w:t>
      </w:r>
    </w:p>
    <w:p>
      <w:r>
        <w:rPr>
          <w:sz w:val="21"/>
        </w:rPr>
        <w:t>SDG 17 — Partnerships for the Goals</w:t>
      </w:r>
    </w:p>
    <w:p>
      <w:r>
        <w:rPr>
          <w:sz w:val="21"/>
        </w:rPr>
        <w:t>Alignment will be programme-specific and will be reviewed as relevant national and international frameworks evolve.</w:t>
      </w:r>
    </w:p>
    <w:p>
      <w:r>
        <w:br w:type="page"/>
      </w:r>
    </w:p>
    <w:p>
      <w:r>
        <w:rPr>
          <w:b/>
          <w:sz w:val="32"/>
        </w:rPr>
        <w:t>STRATEGIC IMPACT AREA 1 COMMUNITY EMPOWERMENT AND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0118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evc_area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118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21"/>
        </w:rPr>
        <w:t>RESILIENT DEVELOPMENT</w:t>
      </w:r>
    </w:p>
    <w:p>
      <w:r>
        <w:rPr>
          <w:sz w:val="21"/>
        </w:rPr>
        <w:t>SDG LINKAGES: 1, 10, 16, 17</w:t>
      </w:r>
    </w:p>
    <w:p>
      <w:r>
        <w:rPr>
          <w:sz w:val="21"/>
        </w:rPr>
        <w:t>OEVC seeks to strengthen the ability of vulnerable individuals and communities to organize, participate, access</w:t>
      </w:r>
    </w:p>
    <w:p>
      <w:r>
        <w:rPr>
          <w:sz w:val="21"/>
        </w:rPr>
        <w:t>opportunities and withstand shocks.</w:t>
      </w:r>
    </w:p>
    <w:p>
      <w:r>
        <w:rPr>
          <w:sz w:val="21"/>
        </w:rPr>
        <w:t>OUTCOMES</w:t>
      </w:r>
    </w:p>
    <w:p>
      <w:pPr>
        <w:pStyle w:val="ListBullet"/>
      </w:pPr>
      <w:r>
        <w:rPr>
          <w:sz w:val="21"/>
        </w:rPr>
        <w:t>Communities have stronger local capacities and participation mechanisms.</w:t>
      </w:r>
    </w:p>
    <w:p>
      <w:pPr>
        <w:pStyle w:val="ListBullet"/>
      </w:pPr>
      <w:r>
        <w:rPr>
          <w:sz w:val="21"/>
        </w:rPr>
        <w:t>Vulnerable people have increased access to skills and economic opportunities.</w:t>
      </w:r>
    </w:p>
    <w:p>
      <w:pPr>
        <w:pStyle w:val="ListBullet"/>
      </w:pPr>
      <w:r>
        <w:rPr>
          <w:sz w:val="21"/>
        </w:rPr>
        <w:t>Community-based structures are better able to identify needs and respond collectively.</w:t>
      </w:r>
    </w:p>
    <w:p>
      <w:r>
        <w:rPr>
          <w:sz w:val="21"/>
        </w:rPr>
        <w:t>KEY APPROACHES</w:t>
      </w:r>
    </w:p>
    <w:p>
      <w:pPr>
        <w:pStyle w:val="ListBullet"/>
      </w:pPr>
      <w:r>
        <w:rPr>
          <w:sz w:val="21"/>
        </w:rPr>
        <w:t>Community assessments and participatory planning.</w:t>
      </w:r>
    </w:p>
    <w:p>
      <w:pPr>
        <w:pStyle w:val="ListBullet"/>
      </w:pPr>
      <w:r>
        <w:rPr>
          <w:sz w:val="21"/>
        </w:rPr>
        <w:t>Skills and vocational development.</w:t>
      </w:r>
    </w:p>
    <w:p>
      <w:pPr>
        <w:pStyle w:val="ListBullet"/>
      </w:pPr>
      <w:r>
        <w:rPr>
          <w:sz w:val="21"/>
        </w:rPr>
        <w:t>Entrepreneurship and inclusive livelihoods.</w:t>
      </w:r>
    </w:p>
    <w:p>
      <w:pPr>
        <w:pStyle w:val="ListBullet"/>
      </w:pPr>
      <w:r>
        <w:rPr>
          <w:sz w:val="21"/>
        </w:rPr>
        <w:t>Support to community groups and local organizations.</w:t>
      </w:r>
    </w:p>
    <w:p>
      <w:pPr>
        <w:pStyle w:val="ListBullet"/>
      </w:pPr>
      <w:r>
        <w:rPr>
          <w:sz w:val="21"/>
        </w:rPr>
        <w:t>Social cohesion and community resilience.</w:t>
      </w:r>
    </w:p>
    <w:p>
      <w:pPr>
        <w:pStyle w:val="ListBullet"/>
      </w:pPr>
      <w:r>
        <w:rPr>
          <w:sz w:val="21"/>
        </w:rPr>
        <w:t>Referral and linkage to relevant services.</w:t>
      </w:r>
    </w:p>
    <w:p>
      <w:r>
        <w:rPr>
          <w:sz w:val="21"/>
        </w:rPr>
        <w:t>OEVC will prioritize models that can be maintained or expanded through local capacity and partnerships.</w:t>
      </w:r>
    </w:p>
    <w:p>
      <w:r>
        <w:br w:type="page"/>
      </w:r>
    </w:p>
    <w:p>
      <w:r>
        <w:rPr>
          <w:b/>
          <w:sz w:val="32"/>
        </w:rPr>
        <w:t>STRATEGIC IMPACT AREA 1 CHANGE STRATEGIES</w:t>
      </w:r>
    </w:p>
    <w:p>
      <w:r>
        <w:rPr>
          <w:sz w:val="21"/>
        </w:rPr>
        <w:t>If OEVC works with communities to identify priorities, strengthens local capacities and connects vulnerable people to</w:t>
      </w:r>
    </w:p>
    <w:p>
      <w:r>
        <w:rPr>
          <w:sz w:val="21"/>
        </w:rPr>
        <w:t>skills, services and opportunities, then communities will be better able to address immediate needs and build longer-term</w:t>
      </w:r>
    </w:p>
    <w:p>
      <w:r>
        <w:rPr>
          <w:sz w:val="21"/>
        </w:rPr>
        <w:t>resilience.</w:t>
      </w:r>
    </w:p>
    <w:p>
      <w:r>
        <w:rPr>
          <w:sz w:val="21"/>
        </w:rPr>
        <w:t>OEVC will support community structures to:</w:t>
      </w:r>
    </w:p>
    <w:p>
      <w:pPr>
        <w:pStyle w:val="ListBullet"/>
      </w:pPr>
      <w:r>
        <w:rPr>
          <w:sz w:val="21"/>
        </w:rPr>
        <w:t>identify barriers and vulnerable households;</w:t>
      </w:r>
    </w:p>
    <w:p>
      <w:pPr>
        <w:pStyle w:val="ListBullet"/>
      </w:pPr>
      <w:r>
        <w:rPr>
          <w:sz w:val="21"/>
        </w:rPr>
        <w:t>develop practical action plans;</w:t>
      </w:r>
    </w:p>
    <w:p>
      <w:pPr>
        <w:pStyle w:val="ListBullet"/>
      </w:pPr>
      <w:r>
        <w:rPr>
          <w:sz w:val="21"/>
        </w:rPr>
        <w:t>strengthen peer and mutual-support mechanisms;</w:t>
      </w:r>
    </w:p>
    <w:p>
      <w:pPr>
        <w:pStyle w:val="ListBullet"/>
      </w:pPr>
      <w:r>
        <w:rPr>
          <w:sz w:val="21"/>
        </w:rPr>
        <w:t>connect people with service providers and markets;</w:t>
      </w:r>
    </w:p>
    <w:p>
      <w:pPr>
        <w:pStyle w:val="ListBullet"/>
      </w:pPr>
      <w:r>
        <w:rPr>
          <w:sz w:val="21"/>
        </w:rPr>
        <w:t>monitor whether interventions are reaching excluded groups.</w:t>
      </w:r>
    </w:p>
    <w:p>
      <w:r>
        <w:rPr>
          <w:sz w:val="21"/>
        </w:rPr>
        <w:t>Persons with disabilities will be supported to participate as rights-holders and contributors, not only as beneficiaries.</w:t>
      </w:r>
    </w:p>
    <w:p>
      <w:r>
        <w:br w:type="page"/>
      </w:r>
    </w:p>
    <w:p>
      <w:r>
        <w:rPr>
          <w:b/>
          <w:sz w:val="32"/>
        </w:rPr>
        <w:t>STRATEGIC IMPACT AREA 2 DISABILITY INCLUSION, QUALITY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01180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evc_area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118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21"/>
        </w:rPr>
        <w:t>BASIC SERVICES AND WELL-BEING</w:t>
      </w:r>
    </w:p>
    <w:p>
      <w:r>
        <w:rPr>
          <w:sz w:val="21"/>
        </w:rPr>
        <w:t>SDG LINKAGES: 3, 4, 5, 10</w:t>
      </w:r>
    </w:p>
    <w:p>
      <w:r>
        <w:rPr>
          <w:sz w:val="21"/>
        </w:rPr>
        <w:t>Access to quality basic services is central to dignity and resilience. OEVC will combine disability inclusion with education,</w:t>
      </w:r>
    </w:p>
    <w:p>
      <w:r>
        <w:rPr>
          <w:sz w:val="21"/>
        </w:rPr>
        <w:t>health, rehabilitation, psychosocial well-being and referral systems.</w:t>
      </w:r>
    </w:p>
    <w:p>
      <w:r>
        <w:rPr>
          <w:sz w:val="21"/>
        </w:rPr>
        <w:t>OUTCOMES</w:t>
      </w:r>
    </w:p>
    <w:p>
      <w:pPr>
        <w:pStyle w:val="ListBullet"/>
      </w:pPr>
      <w:r>
        <w:rPr>
          <w:sz w:val="21"/>
        </w:rPr>
        <w:t>Persons with disabilities have improved access to rehabilitation and assistive support.</w:t>
      </w:r>
    </w:p>
    <w:p>
      <w:pPr>
        <w:pStyle w:val="ListBullet"/>
      </w:pPr>
      <w:r>
        <w:rPr>
          <w:sz w:val="21"/>
        </w:rPr>
        <w:t>Children and youth have improved access to inclusive learning and skills.</w:t>
      </w:r>
    </w:p>
    <w:p>
      <w:pPr>
        <w:pStyle w:val="ListBullet"/>
      </w:pPr>
      <w:r>
        <w:rPr>
          <w:sz w:val="21"/>
        </w:rPr>
        <w:t>Vulnerable communities have improved access to health and well-being services.</w:t>
      </w:r>
    </w:p>
    <w:p>
      <w:pPr>
        <w:pStyle w:val="ListBullet"/>
      </w:pPr>
      <w:r>
        <w:rPr>
          <w:sz w:val="21"/>
        </w:rPr>
        <w:t>Service barriers are identified and addressed through community and partner engagement.</w:t>
      </w:r>
    </w:p>
    <w:p>
      <w:r>
        <w:br w:type="page"/>
      </w:r>
    </w:p>
    <w:p>
      <w:r>
        <w:rPr>
          <w:b/>
          <w:sz w:val="32"/>
        </w:rPr>
        <w:t>STRATEGIC IMPACT AREA 2 CHANGE STRATEGIES</w:t>
      </w:r>
    </w:p>
    <w:p>
      <w:r>
        <w:rPr>
          <w:sz w:val="21"/>
        </w:rPr>
        <w:t>OEVC will support direct service access where appropriate and strengthen the systems around that access.</w:t>
      </w:r>
    </w:p>
    <w:p>
      <w:r>
        <w:rPr>
          <w:sz w:val="21"/>
        </w:rPr>
        <w:t>In disability programming this includes community-based identification, rehabilitation referral, assistive products, caregiver</w:t>
      </w:r>
    </w:p>
    <w:p>
      <w:r>
        <w:rPr>
          <w:sz w:val="21"/>
        </w:rPr>
        <w:t>support, awareness and inclusion in education and livelihoods.</w:t>
      </w:r>
    </w:p>
    <w:p>
      <w:r>
        <w:rPr>
          <w:sz w:val="21"/>
        </w:rPr>
        <w:t>In education it includes inclusive learning, skills development, teacher and community support and pathways to</w:t>
      </w:r>
    </w:p>
    <w:p>
      <w:r>
        <w:rPr>
          <w:sz w:val="21"/>
        </w:rPr>
        <w:t>employment.</w:t>
      </w:r>
    </w:p>
    <w:p>
      <w:r>
        <w:rPr>
          <w:sz w:val="21"/>
        </w:rPr>
        <w:t>In health and well-being it includes health promotion, referral, rehabilitation, nutrition awareness and mental health and</w:t>
      </w:r>
    </w:p>
    <w:p>
      <w:r>
        <w:rPr>
          <w:sz w:val="21"/>
        </w:rPr>
        <w:t>psychosocial support linkages.</w:t>
      </w:r>
    </w:p>
    <w:p>
      <w:r>
        <w:rPr>
          <w:sz w:val="21"/>
        </w:rPr>
        <w:t>OEVC will use community feedback to assess whether services are accessible, appropriate and respectful.</w:t>
      </w:r>
    </w:p>
    <w:p>
      <w:r>
        <w:br w:type="page"/>
      </w:r>
    </w:p>
    <w:p>
      <w:r>
        <w:rPr>
          <w:b/>
          <w:sz w:val="32"/>
        </w:rPr>
        <w:t>STRATEGIC IMPACT AREA 3 RIGHT TO FOOD, LIVELIHOODS AND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0118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evc_area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118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21"/>
        </w:rPr>
        <w:t>CLIMATE RESILIENCE</w:t>
      </w:r>
    </w:p>
    <w:p>
      <w:r>
        <w:rPr>
          <w:sz w:val="21"/>
        </w:rPr>
        <w:t>SDG LINKAGES: 1, 2, 5, 8, 13</w:t>
      </w:r>
    </w:p>
    <w:p>
      <w:r>
        <w:rPr>
          <w:sz w:val="21"/>
        </w:rPr>
        <w:t>Vulnerable households need resilient livelihoods and food systems that can withstand climate and economic shocks.</w:t>
      </w:r>
    </w:p>
    <w:p>
      <w:r>
        <w:rPr>
          <w:sz w:val="21"/>
        </w:rPr>
        <w:t>OUTCOMES</w:t>
      </w:r>
    </w:p>
    <w:p>
      <w:pPr>
        <w:pStyle w:val="ListBullet"/>
      </w:pPr>
      <w:r>
        <w:rPr>
          <w:sz w:val="21"/>
        </w:rPr>
        <w:t>Households improve livelihood security and income opportunities.</w:t>
      </w:r>
    </w:p>
    <w:p>
      <w:pPr>
        <w:pStyle w:val="ListBullet"/>
      </w:pPr>
      <w:r>
        <w:rPr>
          <w:sz w:val="21"/>
        </w:rPr>
        <w:t>Farmers and producers strengthen production, post-harvest and market practices.</w:t>
      </w:r>
    </w:p>
    <w:p>
      <w:pPr>
        <w:pStyle w:val="ListBullet"/>
      </w:pPr>
      <w:r>
        <w:rPr>
          <w:sz w:val="21"/>
        </w:rPr>
        <w:t>Communities increase their capacity for climate adaptation and disaster risk reduction.</w:t>
      </w:r>
    </w:p>
    <w:p>
      <w:pPr>
        <w:pStyle w:val="ListBullet"/>
      </w:pPr>
      <w:r>
        <w:rPr>
          <w:sz w:val="21"/>
        </w:rPr>
        <w:t>Women, youth and persons with disabilities gain more inclusive access to economic opportunities.</w:t>
      </w:r>
    </w:p>
    <w:p>
      <w:r>
        <w:rPr>
          <w:sz w:val="21"/>
        </w:rPr>
        <w:t>KEY APPROACHES</w:t>
      </w:r>
    </w:p>
    <w:p>
      <w:pPr>
        <w:pStyle w:val="ListBullet"/>
      </w:pPr>
      <w:r>
        <w:rPr>
          <w:sz w:val="21"/>
        </w:rPr>
        <w:t>Climate-smart agriculture.</w:t>
      </w:r>
    </w:p>
    <w:p>
      <w:pPr>
        <w:pStyle w:val="ListBullet"/>
      </w:pPr>
      <w:r>
        <w:rPr>
          <w:sz w:val="21"/>
        </w:rPr>
        <w:t>Small-scale irrigation and water management.</w:t>
      </w:r>
    </w:p>
    <w:p>
      <w:pPr>
        <w:pStyle w:val="ListBullet"/>
      </w:pPr>
      <w:r>
        <w:rPr>
          <w:sz w:val="21"/>
        </w:rPr>
        <w:t>Agricultural value chains and post-harvest management.</w:t>
      </w:r>
    </w:p>
    <w:p>
      <w:pPr>
        <w:pStyle w:val="ListBullet"/>
      </w:pPr>
      <w:r>
        <w:rPr>
          <w:sz w:val="21"/>
        </w:rPr>
        <w:t>Vocational and entrepreneurship skills.</w:t>
      </w:r>
    </w:p>
    <w:p>
      <w:pPr>
        <w:pStyle w:val="ListBullet"/>
      </w:pPr>
      <w:r>
        <w:rPr>
          <w:sz w:val="21"/>
        </w:rPr>
        <w:t>Market linkages and producer groups.</w:t>
      </w:r>
    </w:p>
    <w:p>
      <w:pPr>
        <w:pStyle w:val="ListBullet"/>
      </w:pPr>
      <w:r>
        <w:rPr>
          <w:sz w:val="21"/>
        </w:rPr>
        <w:t>Disaster-risk mapping and preparedness.</w:t>
      </w:r>
    </w:p>
    <w:p>
      <w:r>
        <w:br w:type="page"/>
      </w:r>
    </w:p>
    <w:p>
      <w:r>
        <w:rPr>
          <w:b/>
          <w:sz w:val="32"/>
        </w:rPr>
        <w:t>STRATEGIC IMPACT AREA 3 CHANGE STRATEGIES</w:t>
      </w:r>
    </w:p>
    <w:p>
      <w:r>
        <w:rPr>
          <w:sz w:val="21"/>
        </w:rPr>
        <w:t>OEVC will support communities to address livelihood and climate risks collectively. Producer and community groups can</w:t>
      </w:r>
    </w:p>
    <w:p>
      <w:r>
        <w:rPr>
          <w:sz w:val="21"/>
        </w:rPr>
        <w:t>improve access to knowledge, markets, finance and mutual support.</w:t>
      </w:r>
    </w:p>
    <w:p>
      <w:r>
        <w:rPr>
          <w:sz w:val="21"/>
        </w:rPr>
        <w:t>The organization will seek partnerships for agricultural infrastructure, resilient livelihoods, vocational training and climate</w:t>
      </w:r>
    </w:p>
    <w:p>
      <w:r>
        <w:rPr>
          <w:sz w:val="21"/>
        </w:rPr>
        <w:t>adaptation. Programming will consider the specific barriers faced by women, persons with disabilities and other excluded</w:t>
      </w:r>
    </w:p>
    <w:p>
      <w:r>
        <w:rPr>
          <w:sz w:val="21"/>
        </w:rPr>
        <w:t>groups.</w:t>
      </w:r>
    </w:p>
    <w:p>
      <w:r>
        <w:rPr>
          <w:sz w:val="21"/>
        </w:rPr>
        <w:t>Where appropriate, OEVC will connect community experience with evidence and policy dialogue so that local priorities</w:t>
      </w:r>
    </w:p>
    <w:p>
      <w:r>
        <w:rPr>
          <w:sz w:val="21"/>
        </w:rPr>
        <w:t>inform wider discussions on food security, livelihoods and climate resilience.</w:t>
      </w:r>
    </w:p>
    <w:p>
      <w:r>
        <w:br w:type="page"/>
      </w:r>
    </w:p>
    <w:p>
      <w:r>
        <w:rPr>
          <w:b/>
          <w:sz w:val="32"/>
        </w:rPr>
        <w:t>STRATEGIC IMPACT AREA 4 HUMANITARIAN RESPONSE,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0118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evc_area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0118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sz w:val="21"/>
        </w:rPr>
        <w:t>PROTECTION AND RETURNEE RESILIENCE</w:t>
      </w:r>
    </w:p>
    <w:p>
      <w:r>
        <w:rPr>
          <w:sz w:val="21"/>
        </w:rPr>
        <w:t>SDG LINKAGES: 1, 3, 5, 10, 16</w:t>
      </w:r>
    </w:p>
    <w:p>
      <w:r>
        <w:rPr>
          <w:sz w:val="21"/>
        </w:rPr>
        <w:t>Humanitarian needs can change quickly. OEVC will maintain the capacity to respond to urgent needs while linking</w:t>
      </w:r>
    </w:p>
    <w:p>
      <w:r>
        <w:rPr>
          <w:sz w:val="21"/>
        </w:rPr>
        <w:t>emergency assistance with protection, recovery and resilience.</w:t>
      </w:r>
    </w:p>
    <w:p>
      <w:r>
        <w:rPr>
          <w:sz w:val="21"/>
        </w:rPr>
        <w:t>OUTCOMES</w:t>
      </w:r>
    </w:p>
    <w:p>
      <w:pPr>
        <w:pStyle w:val="ListBullet"/>
      </w:pPr>
      <w:r>
        <w:rPr>
          <w:sz w:val="21"/>
        </w:rPr>
        <w:t>Vulnerable households receive timely and appropriate assistance.</w:t>
      </w:r>
    </w:p>
    <w:p>
      <w:pPr>
        <w:pStyle w:val="ListBullet"/>
      </w:pPr>
      <w:r>
        <w:rPr>
          <w:sz w:val="21"/>
        </w:rPr>
        <w:t>Returnees and host communities are better connected to services and livelihood opportunities.</w:t>
      </w:r>
    </w:p>
    <w:p>
      <w:pPr>
        <w:pStyle w:val="ListBullet"/>
      </w:pPr>
      <w:r>
        <w:rPr>
          <w:sz w:val="21"/>
        </w:rPr>
        <w:t>Community preparedness and disaster response capacities improve.</w:t>
      </w:r>
    </w:p>
    <w:p>
      <w:pPr>
        <w:pStyle w:val="ListBullet"/>
      </w:pPr>
      <w:r>
        <w:rPr>
          <w:sz w:val="21"/>
        </w:rPr>
        <w:t>Safeguarding and protection are integrated across programmes.</w:t>
      </w:r>
    </w:p>
    <w:p>
      <w:r>
        <w:rPr>
          <w:sz w:val="21"/>
        </w:rPr>
        <w:t>KEY APPROACHES</w:t>
      </w:r>
    </w:p>
    <w:p>
      <w:pPr>
        <w:pStyle w:val="ListBullet"/>
      </w:pPr>
      <w:r>
        <w:rPr>
          <w:sz w:val="21"/>
        </w:rPr>
        <w:t>Rapid needs assessment.</w:t>
      </w:r>
    </w:p>
    <w:p>
      <w:pPr>
        <w:pStyle w:val="ListBullet"/>
      </w:pPr>
      <w:r>
        <w:rPr>
          <w:sz w:val="21"/>
        </w:rPr>
        <w:t>Emergency assistance and referrals.</w:t>
      </w:r>
    </w:p>
    <w:p>
      <w:pPr>
        <w:pStyle w:val="ListBullet"/>
      </w:pPr>
      <w:r>
        <w:rPr>
          <w:sz w:val="21"/>
        </w:rPr>
        <w:t>Cash or in-kind assistance where appropriate.</w:t>
      </w:r>
    </w:p>
    <w:p>
      <w:pPr>
        <w:pStyle w:val="ListBullet"/>
      </w:pPr>
      <w:r>
        <w:rPr>
          <w:sz w:val="21"/>
        </w:rPr>
        <w:t>Protection and safeguarding referral.</w:t>
      </w:r>
    </w:p>
    <w:p>
      <w:pPr>
        <w:pStyle w:val="ListBullet"/>
      </w:pPr>
      <w:r>
        <w:rPr>
          <w:sz w:val="21"/>
        </w:rPr>
        <w:t>Emergency livelihood recovery.</w:t>
      </w:r>
    </w:p>
    <w:p>
      <w:pPr>
        <w:pStyle w:val="ListBullet"/>
      </w:pPr>
      <w:r>
        <w:rPr>
          <w:sz w:val="21"/>
        </w:rPr>
        <w:t>Disaster preparedness and community response planning.</w:t>
      </w:r>
    </w:p>
    <w:p>
      <w:r>
        <w:br w:type="page"/>
      </w:r>
    </w:p>
    <w:p>
      <w:r>
        <w:rPr>
          <w:b/>
          <w:sz w:val="32"/>
        </w:rPr>
        <w:t>STRATEGIC IMPACT AREA 4 CHANGE STRATEGIES</w:t>
      </w:r>
    </w:p>
    <w:p>
      <w:r>
        <w:rPr>
          <w:sz w:val="21"/>
        </w:rPr>
        <w:t>OEVC will strengthen the link between humanitarian response and longer-term resilience. Emergency assistance should</w:t>
      </w:r>
    </w:p>
    <w:p>
      <w:r>
        <w:rPr>
          <w:sz w:val="21"/>
        </w:rPr>
        <w:t>protect dignity and reduce immediate harm while, where feasible, connecting households with services, livelihoods and</w:t>
      </w:r>
    </w:p>
    <w:p>
      <w:r>
        <w:rPr>
          <w:sz w:val="21"/>
        </w:rPr>
        <w:t>community support.</w:t>
      </w:r>
    </w:p>
    <w:p>
      <w:r>
        <w:rPr>
          <w:sz w:val="21"/>
        </w:rPr>
        <w:t>Returnee and host-community programming will be designed around needs and vulnerabilities rather than status alone.</w:t>
      </w:r>
    </w:p>
    <w:p>
      <w:r>
        <w:rPr>
          <w:sz w:val="21"/>
        </w:rPr>
        <w:t>OEVC will seek to strengthen referral networks and community preparedness.</w:t>
      </w:r>
    </w:p>
    <w:p>
      <w:r>
        <w:rPr>
          <w:sz w:val="21"/>
        </w:rPr>
        <w:t>Accountability to affected people will be integral: communities will receive understandable information, have opportunities</w:t>
      </w:r>
    </w:p>
    <w:p>
      <w:r>
        <w:rPr>
          <w:sz w:val="21"/>
        </w:rPr>
        <w:t>to provide feedback and be able to raise concerns safely.</w:t>
      </w:r>
    </w:p>
    <w:p>
      <w:r>
        <w:br w:type="page"/>
      </w:r>
    </w:p>
    <w:p>
      <w:r>
        <w:rPr>
          <w:b/>
          <w:sz w:val="32"/>
        </w:rPr>
        <w:t>DEVELOPING WHO WE ARE AND HOW WE WORK</w:t>
      </w:r>
    </w:p>
    <w:p>
      <w:r>
        <w:rPr>
          <w:sz w:val="21"/>
        </w:rPr>
        <w:t>OEVC will invest in the institutional foundations required to deliver the strategy.</w:t>
      </w:r>
    </w:p>
    <w:p>
      <w:r>
        <w:rPr>
          <w:sz w:val="21"/>
        </w:rPr>
        <w:t>PRIORITIES</w:t>
      </w:r>
    </w:p>
    <w:p>
      <w:pPr>
        <w:pStyle w:val="ListBullet"/>
      </w:pPr>
      <w:r>
        <w:rPr>
          <w:sz w:val="21"/>
        </w:rPr>
        <w:t>Governance and leadership.</w:t>
      </w:r>
    </w:p>
    <w:p>
      <w:pPr>
        <w:pStyle w:val="ListBullet"/>
      </w:pPr>
      <w:r>
        <w:rPr>
          <w:sz w:val="21"/>
        </w:rPr>
        <w:t>Financial management and internal controls.</w:t>
      </w:r>
    </w:p>
    <w:p>
      <w:pPr>
        <w:pStyle w:val="ListBullet"/>
      </w:pPr>
      <w:r>
        <w:rPr>
          <w:sz w:val="21"/>
        </w:rPr>
        <w:t>Human resources and staff development.</w:t>
      </w:r>
    </w:p>
    <w:p>
      <w:pPr>
        <w:pStyle w:val="ListBullet"/>
      </w:pPr>
      <w:r>
        <w:rPr>
          <w:sz w:val="21"/>
        </w:rPr>
        <w:t>MEAL and data quality.</w:t>
      </w:r>
    </w:p>
    <w:p>
      <w:pPr>
        <w:pStyle w:val="ListBullet"/>
      </w:pPr>
      <w:r>
        <w:rPr>
          <w:sz w:val="21"/>
        </w:rPr>
        <w:t>Safeguarding and PSEA.</w:t>
      </w:r>
    </w:p>
    <w:p>
      <w:pPr>
        <w:pStyle w:val="ListBullet"/>
      </w:pPr>
      <w:r>
        <w:rPr>
          <w:sz w:val="21"/>
        </w:rPr>
        <w:t>Procurement and operational systems.</w:t>
      </w:r>
    </w:p>
    <w:p>
      <w:pPr>
        <w:pStyle w:val="ListBullet"/>
      </w:pPr>
      <w:r>
        <w:rPr>
          <w:sz w:val="21"/>
        </w:rPr>
        <w:t>Partnership due diligence.</w:t>
      </w:r>
    </w:p>
    <w:p>
      <w:pPr>
        <w:pStyle w:val="ListBullet"/>
      </w:pPr>
      <w:r>
        <w:rPr>
          <w:sz w:val="21"/>
        </w:rPr>
        <w:t>Resource mobilization.</w:t>
      </w:r>
    </w:p>
    <w:p>
      <w:pPr>
        <w:pStyle w:val="ListBullet"/>
      </w:pPr>
      <w:r>
        <w:rPr>
          <w:sz w:val="21"/>
        </w:rPr>
        <w:t>Communications and visibility.</w:t>
      </w:r>
    </w:p>
    <w:p>
      <w:pPr>
        <w:pStyle w:val="ListBullet"/>
      </w:pPr>
      <w:r>
        <w:rPr>
          <w:sz w:val="21"/>
        </w:rPr>
        <w:t>Digitalization and knowledge management.</w:t>
      </w:r>
    </w:p>
    <w:p>
      <w:r>
        <w:rPr>
          <w:sz w:val="21"/>
        </w:rPr>
        <w:t>The objective is not growth for its own sake. Institutional development will be pursued to improve programme quality,</w:t>
      </w:r>
    </w:p>
    <w:p>
      <w:r>
        <w:rPr>
          <w:sz w:val="21"/>
        </w:rPr>
        <w:t>accountability, efficiency and sustainability.</w:t>
      </w:r>
    </w:p>
    <w:p>
      <w:r>
        <w:br w:type="page"/>
      </w:r>
    </w:p>
    <w:p>
      <w:r>
        <w:rPr>
          <w:b/>
          <w:sz w:val="32"/>
        </w:rPr>
        <w:t>PARTNERSHIPS FOR SUSTAINABLE CHANGE</w:t>
      </w:r>
    </w:p>
    <w:p>
      <w:r>
        <w:rPr>
          <w:sz w:val="21"/>
        </w:rPr>
        <w:t>OEVC views partnerships as long-term relationships based on complementary strengths, mutual accountability and local</w:t>
      </w:r>
    </w:p>
    <w:p>
      <w:r>
        <w:rPr>
          <w:sz w:val="21"/>
        </w:rPr>
        <w:t>ownership.</w:t>
      </w:r>
    </w:p>
    <w:p>
      <w:r>
        <w:rPr>
          <w:sz w:val="21"/>
        </w:rPr>
        <w:t>OEVC will seek constructive cooperation with:</w:t>
      </w:r>
    </w:p>
    <w:p>
      <w:pPr>
        <w:pStyle w:val="ListBullet"/>
      </w:pPr>
      <w:r>
        <w:rPr>
          <w:sz w:val="21"/>
        </w:rPr>
        <w:t>Organizations of persons with disabilities.</w:t>
      </w:r>
    </w:p>
    <w:p>
      <w:pPr>
        <w:pStyle w:val="ListBullet"/>
      </w:pPr>
      <w:r>
        <w:rPr>
          <w:sz w:val="21"/>
        </w:rPr>
        <w:t>Community-based organizations and local groups.</w:t>
      </w:r>
    </w:p>
    <w:p>
      <w:pPr>
        <w:pStyle w:val="ListBullet"/>
      </w:pPr>
      <w:r>
        <w:rPr>
          <w:sz w:val="21"/>
        </w:rPr>
        <w:t>National and international NGOs.</w:t>
      </w:r>
    </w:p>
    <w:p>
      <w:pPr>
        <w:pStyle w:val="ListBullet"/>
      </w:pPr>
      <w:r>
        <w:rPr>
          <w:sz w:val="21"/>
        </w:rPr>
        <w:t>UN agencies and donors.</w:t>
      </w:r>
    </w:p>
    <w:p>
      <w:pPr>
        <w:pStyle w:val="ListBullet"/>
      </w:pPr>
      <w:r>
        <w:rPr>
          <w:sz w:val="21"/>
        </w:rPr>
        <w:t>Academic and research institutions.</w:t>
      </w:r>
    </w:p>
    <w:p>
      <w:pPr>
        <w:pStyle w:val="ListBullet"/>
      </w:pPr>
      <w:r>
        <w:rPr>
          <w:sz w:val="21"/>
        </w:rPr>
        <w:t>Private-sector actors.</w:t>
      </w:r>
    </w:p>
    <w:p>
      <w:pPr>
        <w:pStyle w:val="ListBullet"/>
      </w:pPr>
      <w:r>
        <w:rPr>
          <w:sz w:val="21"/>
        </w:rPr>
        <w:t>Relevant authorities and service providers.</w:t>
      </w:r>
    </w:p>
    <w:p>
      <w:r>
        <w:rPr>
          <w:sz w:val="21"/>
        </w:rPr>
        <w:t>Partnership selection will consider relevance, integrity, capacity, safeguarding, community legitimacy and potential for</w:t>
      </w:r>
    </w:p>
    <w:p>
      <w:r>
        <w:rPr>
          <w:sz w:val="21"/>
        </w:rPr>
        <w:t>sustainable results.</w:t>
      </w:r>
    </w:p>
    <w:p>
      <w:r>
        <w:br w:type="page"/>
      </w:r>
    </w:p>
    <w:p>
      <w:r>
        <w:rPr>
          <w:b/>
          <w:sz w:val="32"/>
        </w:rPr>
        <w:t>RESOURCE MOBILIZATION AND FINANCIAL SUSTAINABILITY</w:t>
      </w:r>
    </w:p>
    <w:p>
      <w:r>
        <w:rPr>
          <w:sz w:val="21"/>
        </w:rPr>
        <w:t>OEVC will develop a diversified resource base to reduce dependence on a single funding source.</w:t>
      </w:r>
    </w:p>
    <w:p>
      <w:r>
        <w:rPr>
          <w:sz w:val="21"/>
        </w:rPr>
        <w:t>Priority approaches include:</w:t>
      </w:r>
    </w:p>
    <w:p>
      <w:pPr>
        <w:pStyle w:val="ListBullet"/>
      </w:pPr>
      <w:r>
        <w:rPr>
          <w:sz w:val="21"/>
        </w:rPr>
        <w:t>Institutional donor proposals.</w:t>
      </w:r>
    </w:p>
    <w:p>
      <w:pPr>
        <w:pStyle w:val="ListBullet"/>
      </w:pPr>
      <w:r>
        <w:rPr>
          <w:sz w:val="21"/>
        </w:rPr>
        <w:t>UN and pooled-fund opportunities where eligible.</w:t>
      </w:r>
    </w:p>
    <w:p>
      <w:pPr>
        <w:pStyle w:val="ListBullet"/>
      </w:pPr>
      <w:r>
        <w:rPr>
          <w:sz w:val="21"/>
        </w:rPr>
        <w:t>Foundation and philanthropic partnerships.</w:t>
      </w:r>
    </w:p>
    <w:p>
      <w:pPr>
        <w:pStyle w:val="ListBullet"/>
      </w:pPr>
      <w:r>
        <w:rPr>
          <w:sz w:val="21"/>
        </w:rPr>
        <w:t>Private-sector and CSR partnerships.</w:t>
      </w:r>
    </w:p>
    <w:p>
      <w:pPr>
        <w:pStyle w:val="ListBullet"/>
      </w:pPr>
      <w:r>
        <w:rPr>
          <w:sz w:val="21"/>
        </w:rPr>
        <w:t>Individual and diaspora giving.</w:t>
      </w:r>
    </w:p>
    <w:p>
      <w:pPr>
        <w:pStyle w:val="ListBullet"/>
      </w:pPr>
      <w:r>
        <w:rPr>
          <w:sz w:val="21"/>
        </w:rPr>
        <w:t>Appropriate social-enterprise and cost-recovery models.</w:t>
      </w:r>
    </w:p>
    <w:p>
      <w:pPr>
        <w:pStyle w:val="ListBullet"/>
      </w:pPr>
      <w:r>
        <w:rPr>
          <w:sz w:val="21"/>
        </w:rPr>
        <w:t>Multi-year partnerships.</w:t>
      </w:r>
    </w:p>
    <w:p>
      <w:r>
        <w:rPr>
          <w:sz w:val="21"/>
        </w:rPr>
        <w:t>Resource mobilization will be grounded in credible programme designs, evidence of results, transparent financial</w:t>
      </w:r>
    </w:p>
    <w:p>
      <w:r>
        <w:rPr>
          <w:sz w:val="21"/>
        </w:rPr>
        <w:t>management, strong donor compliance and clear communication of impact.</w:t>
      </w:r>
    </w:p>
    <w:p>
      <w:r>
        <w:br w:type="page"/>
      </w:r>
    </w:p>
    <w:p>
      <w:r>
        <w:rPr>
          <w:b/>
          <w:sz w:val="32"/>
        </w:rPr>
        <w:t>MONITORING, EVALUATION, ACCOUNTABILITY AND LEARNING</w:t>
      </w:r>
    </w:p>
    <w:p>
      <w:r>
        <w:rPr>
          <w:sz w:val="21"/>
        </w:rPr>
        <w:t>OEVC will maintain a MEAL system that connects strategy, programmes and organizational learning.</w:t>
      </w:r>
    </w:p>
    <w:p>
      <w:r>
        <w:rPr>
          <w:sz w:val="21"/>
        </w:rPr>
        <w:t>The system will include:</w:t>
      </w:r>
    </w:p>
    <w:p>
      <w:pPr>
        <w:pStyle w:val="ListBullet"/>
      </w:pPr>
      <w:r>
        <w:rPr>
          <w:sz w:val="21"/>
        </w:rPr>
        <w:t>Baselines and needs assessments.</w:t>
      </w:r>
    </w:p>
    <w:p>
      <w:pPr>
        <w:pStyle w:val="ListBullet"/>
      </w:pPr>
      <w:r>
        <w:rPr>
          <w:sz w:val="21"/>
        </w:rPr>
        <w:t>Results frameworks and indicators.</w:t>
      </w:r>
    </w:p>
    <w:p>
      <w:pPr>
        <w:pStyle w:val="ListBullet"/>
      </w:pPr>
      <w:r>
        <w:rPr>
          <w:sz w:val="21"/>
        </w:rPr>
        <w:t>Routine monitoring and data-quality checks.</w:t>
      </w:r>
    </w:p>
    <w:p>
      <w:pPr>
        <w:pStyle w:val="ListBullet"/>
      </w:pPr>
      <w:r>
        <w:rPr>
          <w:sz w:val="21"/>
        </w:rPr>
        <w:t>Community feedback and complaints mechanisms.</w:t>
      </w:r>
    </w:p>
    <w:p>
      <w:pPr>
        <w:pStyle w:val="ListBullet"/>
      </w:pPr>
      <w:r>
        <w:rPr>
          <w:sz w:val="21"/>
        </w:rPr>
        <w:t>Outcome monitoring.</w:t>
      </w:r>
    </w:p>
    <w:p>
      <w:pPr>
        <w:pStyle w:val="ListBullet"/>
      </w:pPr>
      <w:r>
        <w:rPr>
          <w:sz w:val="21"/>
        </w:rPr>
        <w:t>Annual performance reviews.</w:t>
      </w:r>
    </w:p>
    <w:p>
      <w:pPr>
        <w:pStyle w:val="ListBullet"/>
      </w:pPr>
      <w:r>
        <w:rPr>
          <w:sz w:val="21"/>
        </w:rPr>
        <w:t>A mid-term strategic review in 2028.</w:t>
      </w:r>
    </w:p>
    <w:p>
      <w:pPr>
        <w:pStyle w:val="ListBullet"/>
      </w:pPr>
      <w:r>
        <w:rPr>
          <w:sz w:val="21"/>
        </w:rPr>
        <w:t>Final strategic evaluation in 2030.</w:t>
      </w:r>
    </w:p>
    <w:p>
      <w:pPr>
        <w:pStyle w:val="ListBullet"/>
      </w:pPr>
      <w:r>
        <w:rPr>
          <w:sz w:val="21"/>
        </w:rPr>
        <w:t>Learning products and management actions.</w:t>
      </w:r>
    </w:p>
    <w:p>
      <w:r>
        <w:rPr>
          <w:sz w:val="21"/>
        </w:rPr>
        <w:t>OEVC will use evidence not only to report to donors but to improve decisions and programme quality.</w:t>
      </w:r>
    </w:p>
    <w:p>
      <w:r>
        <w:br w:type="page"/>
      </w:r>
    </w:p>
    <w:p>
      <w:r>
        <w:rPr>
          <w:b/>
          <w:sz w:val="32"/>
        </w:rPr>
        <w:t>RISK MANAGEMENT AND ANTI-CORRUPTION</w:t>
      </w:r>
    </w:p>
    <w:p>
      <w:r>
        <w:rPr>
          <w:sz w:val="21"/>
        </w:rPr>
        <w:t>OEVC will continuously analyse contextual and operational risks and integrate mitigation into annual planning.</w:t>
      </w:r>
    </w:p>
    <w:p>
      <w:r>
        <w:rPr>
          <w:sz w:val="21"/>
        </w:rPr>
        <w:t>Risk areas include access, security, finance, fraud and corruption, safeguarding, programme quality, reputation, climate,</w:t>
      </w:r>
    </w:p>
    <w:p>
      <w:r>
        <w:rPr>
          <w:sz w:val="21"/>
        </w:rPr>
        <w:t>supply chains and staff capacity.</w:t>
      </w:r>
    </w:p>
    <w:p>
      <w:r>
        <w:rPr>
          <w:sz w:val="21"/>
        </w:rPr>
        <w:t>OEVC will strengthen segregation of duties, authorization controls, partner due diligence, financial monitoring, incident</w:t>
      </w:r>
    </w:p>
    <w:p>
      <w:r>
        <w:rPr>
          <w:sz w:val="21"/>
        </w:rPr>
        <w:t>reporting, whistleblowing and management oversight. Roles and responsibilities for risk management will be clearly</w:t>
      </w:r>
    </w:p>
    <w:p>
      <w:r>
        <w:rPr>
          <w:sz w:val="21"/>
        </w:rPr>
        <w:t>defined and reviewed.</w:t>
      </w:r>
    </w:p>
    <w:p>
      <w:r>
        <w:br w:type="page"/>
      </w:r>
    </w:p>
    <w:p>
      <w:r>
        <w:rPr>
          <w:b/>
          <w:sz w:val="32"/>
        </w:rPr>
        <w:t>REVISITING OUR VALUES AND HOW THEY ARE PRACTICED</w:t>
      </w:r>
    </w:p>
    <w:p>
      <w:r>
        <w:rPr>
          <w:sz w:val="21"/>
        </w:rPr>
        <w:t>OEVC's values must be visible in everyday decisions.</w:t>
      </w:r>
    </w:p>
    <w:p>
      <w:r>
        <w:rPr>
          <w:sz w:val="21"/>
        </w:rPr>
        <w:t>We will respect the dignity and agency of the people we serve; treat people fairly without discrimination; recognize</w:t>
      </w:r>
    </w:p>
    <w:p>
      <w:r>
        <w:rPr>
          <w:sz w:val="21"/>
        </w:rPr>
        <w:t>differences in needs and capabilities; work with communities rather than for communities alone; communicate honestly;</w:t>
      </w:r>
    </w:p>
    <w:p>
      <w:r>
        <w:rPr>
          <w:sz w:val="21"/>
        </w:rPr>
        <w:t>protect confidential information; and remain accountable for the resources entrusted to us.</w:t>
      </w:r>
    </w:p>
    <w:p>
      <w:r>
        <w:rPr>
          <w:sz w:val="21"/>
        </w:rPr>
        <w:t>OEVC will regularly revisit how these values are practiced through staff learning, community feedback, partner dialogue,</w:t>
      </w:r>
    </w:p>
    <w:p>
      <w:r>
        <w:rPr>
          <w:sz w:val="21"/>
        </w:rPr>
        <w:t>leadership review and programme quality processes.</w:t>
      </w:r>
    </w:p>
    <w:p>
      <w:r>
        <w:br w:type="page"/>
      </w:r>
    </w:p>
    <w:p>
      <w:r>
        <w:rPr>
          <w:b/>
          <w:sz w:val="32"/>
        </w:rPr>
        <w:t>STRATEGIC ROADMAP 2026–2030</w:t>
      </w:r>
    </w:p>
    <w:p>
      <w:r>
        <w:rPr>
          <w:sz w:val="21"/>
        </w:rPr>
        <w:t>2026 — FOUNDATION</w:t>
      </w:r>
    </w:p>
    <w:p>
      <w:r>
        <w:rPr>
          <w:sz w:val="21"/>
        </w:rPr>
        <w:t>Establish and strengthen core systems, launch priority programmes, build partnerships and operationalize MEAL and</w:t>
      </w:r>
    </w:p>
    <w:p>
      <w:r>
        <w:rPr>
          <w:sz w:val="21"/>
        </w:rPr>
        <w:t>safeguarding.</w:t>
      </w:r>
    </w:p>
    <w:p>
      <w:r>
        <w:rPr>
          <w:sz w:val="21"/>
        </w:rPr>
        <w:t>2027 — EXPANSION</w:t>
      </w:r>
    </w:p>
    <w:p>
      <w:r>
        <w:rPr>
          <w:sz w:val="21"/>
        </w:rPr>
        <w:t>Scale effective models, strengthen community structures and diversify resource mobilization.</w:t>
      </w:r>
    </w:p>
    <w:p>
      <w:r>
        <w:rPr>
          <w:sz w:val="21"/>
        </w:rPr>
        <w:t>2028 — MID-TERM REVIEW</w:t>
      </w:r>
    </w:p>
    <w:p>
      <w:r>
        <w:rPr>
          <w:sz w:val="21"/>
        </w:rPr>
        <w:t>Assess progress, learning, context and institutional capacity; revise priorities where evidence requires.</w:t>
      </w:r>
    </w:p>
    <w:p>
      <w:r>
        <w:rPr>
          <w:sz w:val="21"/>
        </w:rPr>
        <w:t>2029 — CONSOLIDATION AND SCALING</w:t>
      </w:r>
    </w:p>
    <w:p>
      <w:r>
        <w:rPr>
          <w:sz w:val="21"/>
        </w:rPr>
        <w:t>Deepen successful programmes, strengthen evidence and expand strategic partnerships.</w:t>
      </w:r>
    </w:p>
    <w:p>
      <w:r>
        <w:rPr>
          <w:sz w:val="21"/>
        </w:rPr>
        <w:t>2030 — SUSTAINABILITY AND NEXT STRATEGY</w:t>
      </w:r>
    </w:p>
    <w:p>
      <w:r>
        <w:rPr>
          <w:sz w:val="21"/>
        </w:rPr>
        <w:t>Complete final evaluation, document learning, strengthen sustainable models and prepare the 2031–2035 strategy.</w:t>
      </w:r>
    </w:p>
    <w:p>
      <w:r>
        <w:br w:type="page"/>
      </w:r>
    </w:p>
    <w:p>
      <w:r>
        <w:rPr>
          <w:b/>
          <w:sz w:val="32"/>
        </w:rPr>
        <w:t>RESULTS FRAMEWORK</w:t>
      </w:r>
    </w:p>
    <w:p>
      <w:r>
        <w:rPr>
          <w:sz w:val="21"/>
        </w:rPr>
        <w:t>IMPACT</w:t>
      </w:r>
    </w:p>
    <w:p>
      <w:r>
        <w:rPr>
          <w:sz w:val="21"/>
        </w:rPr>
        <w:t>Vulnerable communities experience greater inclusion, resilience, dignity and opportunity.</w:t>
      </w:r>
    </w:p>
    <w:p>
      <w:r>
        <w:rPr>
          <w:sz w:val="21"/>
        </w:rPr>
        <w:t>OUTCOME LEVEL</w:t>
      </w:r>
    </w:p>
    <w:p>
      <w:r>
        <w:rPr>
          <w:sz w:val="21"/>
        </w:rPr>
        <w:t>1. Stronger community empowerment and resilient development.</w:t>
      </w:r>
    </w:p>
    <w:p>
      <w:r>
        <w:rPr>
          <w:sz w:val="21"/>
        </w:rPr>
        <w:t>2. Improved access to disability-inclusive basic services and well-being.</w:t>
      </w:r>
    </w:p>
    <w:p>
      <w:r>
        <w:rPr>
          <w:sz w:val="21"/>
        </w:rPr>
        <w:t>3. Improved food security, livelihoods and climate resilience.</w:t>
      </w:r>
    </w:p>
    <w:p>
      <w:r>
        <w:rPr>
          <w:sz w:val="21"/>
        </w:rPr>
        <w:t>4. Stronger humanitarian response, protection and returnee resilience.</w:t>
      </w:r>
    </w:p>
    <w:p>
      <w:r>
        <w:rPr>
          <w:sz w:val="21"/>
        </w:rPr>
        <w:t>5. Stronger institutional quality, accountability and sustainability.</w:t>
      </w:r>
    </w:p>
    <w:p>
      <w:r>
        <w:rPr>
          <w:sz w:val="21"/>
        </w:rPr>
        <w:t>ILLUSTRATIVE INDICATORS</w:t>
      </w:r>
    </w:p>
    <w:p>
      <w:pPr>
        <w:pStyle w:val="ListBullet"/>
      </w:pPr>
      <w:r>
        <w:rPr>
          <w:sz w:val="21"/>
        </w:rPr>
        <w:t>People accessing inclusive services.</w:t>
      </w:r>
    </w:p>
    <w:p>
      <w:pPr>
        <w:pStyle w:val="ListBullet"/>
      </w:pPr>
      <w:r>
        <w:rPr>
          <w:sz w:val="21"/>
        </w:rPr>
        <w:t>Persons with disabilities accessing rehabilitation and assistive support.</w:t>
      </w:r>
    </w:p>
    <w:p>
      <w:pPr>
        <w:pStyle w:val="ListBullet"/>
      </w:pPr>
      <w:r>
        <w:rPr>
          <w:sz w:val="21"/>
        </w:rPr>
        <w:t>Learners completing skills programmes.</w:t>
      </w:r>
    </w:p>
    <w:p>
      <w:pPr>
        <w:pStyle w:val="ListBullet"/>
      </w:pPr>
      <w:r>
        <w:rPr>
          <w:sz w:val="21"/>
        </w:rPr>
        <w:t>Households reporting improved livelihood resilience.</w:t>
      </w:r>
    </w:p>
    <w:p>
      <w:pPr>
        <w:pStyle w:val="ListBullet"/>
      </w:pPr>
      <w:r>
        <w:rPr>
          <w:sz w:val="21"/>
        </w:rPr>
        <w:t>Farmers adopting climate-resilient practices.</w:t>
      </w:r>
    </w:p>
    <w:p>
      <w:pPr>
        <w:pStyle w:val="ListBullet"/>
      </w:pPr>
      <w:r>
        <w:rPr>
          <w:sz w:val="21"/>
        </w:rPr>
        <w:t>People receiving timely humanitarian support.</w:t>
      </w:r>
    </w:p>
    <w:p>
      <w:pPr>
        <w:pStyle w:val="ListBullet"/>
      </w:pPr>
      <w:r>
        <w:rPr>
          <w:sz w:val="21"/>
        </w:rPr>
        <w:t>Communities with preparedness plans.</w:t>
      </w:r>
    </w:p>
    <w:p>
      <w:pPr>
        <w:pStyle w:val="ListBullet"/>
      </w:pPr>
      <w:r>
        <w:rPr>
          <w:sz w:val="21"/>
        </w:rPr>
        <w:t>Community feedback resolved within agreed standards.</w:t>
      </w:r>
    </w:p>
    <w:p>
      <w:pPr>
        <w:pStyle w:val="ListBullet"/>
      </w:pPr>
      <w:r>
        <w:rPr>
          <w:sz w:val="21"/>
        </w:rPr>
        <w:t>Funding sources diversified.</w:t>
      </w:r>
    </w:p>
    <w:p>
      <w:pPr>
        <w:pStyle w:val="ListBullet"/>
      </w:pPr>
      <w:r>
        <w:rPr>
          <w:sz w:val="21"/>
        </w:rPr>
        <w:t>Audit, safeguarding and compliance actions completed.</w:t>
      </w:r>
    </w:p>
    <w:p>
      <w:r>
        <w:br w:type="page"/>
      </w:r>
    </w:p>
    <w:p>
      <w:r>
        <w:rPr>
          <w:b/>
          <w:sz w:val="32"/>
        </w:rPr>
        <w:t>SDG ALIGNMENT MATRIX</w:t>
      </w:r>
    </w:p>
    <w:p>
      <w:r>
        <w:rPr>
          <w:sz w:val="21"/>
        </w:rPr>
        <w:t>OEVC's strategic priorities contribute to:</w:t>
      </w:r>
    </w:p>
    <w:p>
      <w:r>
        <w:rPr>
          <w:sz w:val="21"/>
        </w:rPr>
        <w:t>SDG 1 — poverty reduction through livelihoods and resilience.</w:t>
      </w:r>
    </w:p>
    <w:p>
      <w:r>
        <w:rPr>
          <w:sz w:val="21"/>
        </w:rPr>
        <w:t>SDG 2 — food security through agriculture and climate-smart production.</w:t>
      </w:r>
    </w:p>
    <w:p>
      <w:r>
        <w:rPr>
          <w:sz w:val="21"/>
        </w:rPr>
        <w:t>SDG 3 — health, rehabilitation and well-being.</w:t>
      </w:r>
    </w:p>
    <w:p>
      <w:r>
        <w:rPr>
          <w:sz w:val="21"/>
        </w:rPr>
        <w:t>SDG 4 — inclusive education and skills.</w:t>
      </w:r>
    </w:p>
    <w:p>
      <w:r>
        <w:rPr>
          <w:sz w:val="21"/>
        </w:rPr>
        <w:t>SDG 5 — equitable participation and gender-sensitive programming.</w:t>
      </w:r>
    </w:p>
    <w:p>
      <w:r>
        <w:rPr>
          <w:sz w:val="21"/>
        </w:rPr>
        <w:t>SDG 8 — employment, entrepreneurship and livelihoods.</w:t>
      </w:r>
    </w:p>
    <w:p>
      <w:r>
        <w:rPr>
          <w:sz w:val="21"/>
        </w:rPr>
        <w:t>SDG 10 — disability inclusion and reduced inequalities.</w:t>
      </w:r>
    </w:p>
    <w:p>
      <w:r>
        <w:rPr>
          <w:sz w:val="21"/>
        </w:rPr>
        <w:t>SDG 13 — climate adaptation and disaster-risk reduction.</w:t>
      </w:r>
    </w:p>
    <w:p>
      <w:r>
        <w:rPr>
          <w:sz w:val="21"/>
        </w:rPr>
        <w:t>SDG 16 — accountable institutions, protection and participation.</w:t>
      </w:r>
    </w:p>
    <w:p>
      <w:r>
        <w:rPr>
          <w:sz w:val="21"/>
        </w:rPr>
        <w:t>SDG 17 — partnerships and resource mobilization.</w:t>
      </w:r>
    </w:p>
    <w:p>
      <w:r>
        <w:br w:type="page"/>
      </w:r>
    </w:p>
    <w:p>
      <w:r>
        <w:rPr>
          <w:b/>
          <w:sz w:val="32"/>
        </w:rPr>
        <w:t>IMPLEMENTATION, REVIEW AND ADAPTATION</w:t>
      </w:r>
    </w:p>
    <w:p>
      <w:r>
        <w:rPr>
          <w:sz w:val="21"/>
        </w:rPr>
        <w:t>The Strategic Plan will be implemented through annual operational plans and budgets. Each year OEVC will review</w:t>
      </w:r>
    </w:p>
    <w:p>
      <w:r>
        <w:rPr>
          <w:sz w:val="21"/>
        </w:rPr>
        <w:t>context, programme performance, resource availability, risks and learning.</w:t>
      </w:r>
    </w:p>
    <w:p>
      <w:r>
        <w:rPr>
          <w:sz w:val="21"/>
        </w:rPr>
        <w:t>Management will translate strategic outcomes into annual targets and project-level results frameworks. Programme</w:t>
      </w:r>
    </w:p>
    <w:p>
      <w:r>
        <w:rPr>
          <w:sz w:val="21"/>
        </w:rPr>
        <w:t>teams will report progress through routine monitoring and quarterly reviews. Senior management will use evidence to</w:t>
      </w:r>
    </w:p>
    <w:p>
      <w:r>
        <w:rPr>
          <w:sz w:val="21"/>
        </w:rPr>
        <w:t>adjust implementation, while the Board will provide strategic oversight.</w:t>
      </w:r>
    </w:p>
    <w:p>
      <w:r>
        <w:rPr>
          <w:sz w:val="21"/>
        </w:rPr>
        <w:t>The 2028 mid-term review will assess relevance, effectiveness, organizational capacity, partnership performance and</w:t>
      </w:r>
    </w:p>
    <w:p>
      <w:r>
        <w:rPr>
          <w:sz w:val="21"/>
        </w:rPr>
        <w:t>progress toward outcomes. The 2030 evaluation will inform the next strategic cycle.</w:t>
      </w:r>
    </w:p>
    <w:p>
      <w:r>
        <w:br w:type="page"/>
      </w:r>
    </w:p>
    <w:p>
      <w:r>
        <w:rPr>
          <w:b/>
          <w:sz w:val="32"/>
        </w:rPr>
        <w:t>ANNEX: STRATEGIC MANAGEMENT CYCLE</w:t>
      </w:r>
    </w:p>
    <w:p>
      <w:r>
        <w:rPr>
          <w:sz w:val="21"/>
        </w:rPr>
        <w:t>Context analysis → strategic prioritization → annual operational planning → budgeting and resource mobilization →</w:t>
      </w:r>
    </w:p>
    <w:p>
      <w:r>
        <w:rPr>
          <w:sz w:val="21"/>
        </w:rPr>
        <w:t>implementation → monitoring and community feedback → quarterly review → learning and adaptation → annual</w:t>
      </w:r>
    </w:p>
    <w:p>
      <w:r>
        <w:rPr>
          <w:sz w:val="21"/>
        </w:rPr>
        <w:t>performance review → strategic mid-term review → final evaluation → next strategy.</w:t>
      </w:r>
    </w:p>
    <w:p>
      <w:r>
        <w:rPr>
          <w:sz w:val="21"/>
        </w:rPr>
        <w:t>This cycle ensures that OEVC's strategy remains relevant in a changing environment while maintaining a clear long-term</w:t>
      </w:r>
    </w:p>
    <w:p>
      <w:r>
        <w:rPr>
          <w:sz w:val="21"/>
        </w:rPr>
        <w:t>direction.</w:t>
      </w:r>
    </w:p>
    <w:p>
      <w:r>
        <w:br w:type="page"/>
      </w:r>
    </w:p>
    <w:p>
      <w:pPr>
        <w:jc w:val="center"/>
      </w:pPr>
      <w:r>
        <w:rPr>
          <w:b/>
        </w:rPr>
        <w:t>OEVC • Empowering People • Strengthening Communities • Building Resilience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